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94 vom 28. Juni 2013</w:t>
      </w:r>
    </w:p>
    <w:p>
      <w:r>
        <w:t>VS Kantonsgericht, 2013-06-28, FR</w:t>
      </w:r>
    </w:p>
    <w:p>
      <w:r>
        <w:rPr>
          <w:b/>
        </w:rPr>
        <w:t xml:space="preserve">Quelle: </w:t>
      </w:r>
      <w:r>
        <w:t>https://mcp.opencaselaw.ch/entscheid/vs_gerichte_P3 13 94</w:t>
      </w:r>
    </w:p>
    <w:p>
      <w:r>
        <w:t>FR: VS_GERICHTE P3 13 94 du 28 juin 2013</w:t>
      </w:r>
    </w:p>
    <w:p>
      <w:r>
        <w:t>IT: VS_GERICHTE P3 13 94 del 28 giugno 2013</w:t>
      </w:r>
    </w:p>
    <w:p>
      <w:pPr>
        <w:pStyle w:val="Heading2"/>
      </w:pPr>
      <w:r>
        <w:t>Regeste</w:t>
      </w:r>
    </w:p>
    <w:p>
      <w:r>
        <w:t>P3 13 94 ORDONNANCE DU 28 JUIN 2013 Tribunal cantonal du Valais La Chambre pénale Jacques Berthouzoz, juge ; Mireille Allegro, greffière en la cause entre X__________, recourant contre LE TRIBUNAL DU IIE ARRONDISSEMENT POUR LE DISTRICT DE A___________ (huis clos ; art. 70 CPP) recours contre la décision du Tribunal du IIe arrondissement pour le district de</w:t>
      </w:r>
    </w:p>
    <w:p>
      <w:pPr>
        <w:pStyle w:val="Heading2"/>
      </w:pPr>
      <w:r>
        <w:t>Erwägungen</w:t>
      </w:r>
    </w:p>
    <w:p>
      <w:r>
        <w:rPr>
          <w:b/>
        </w:rPr>
        <w:t>E. 28</w:t>
      </w:r>
    </w:p>
    <w:p>
      <w:r>
        <w:t>février 2013 consid. 1.6) ;</w:t>
      </w:r>
    </w:p>
    <w:p>
      <w:r>
        <w:t>- 3 - qu’en l’espèce, compte tenu du sort qui va être réservé au recours quant au fond de la présente contestation, la question de la renonciation à l'exigence d'un intérêt actuel peut rester ouverte, bien que l’on puisse s’interroger sur la portée de principe de la présente ordonnance, au vu des circonstances très particulières, résumées ci-après, ayant conduit au prononcé de la décision litigieuse ; qu’à cet égard, il ressort des actes de procédure versés en cause que les débats devant le tribunal d’arrondissement concernaient une affaire de graves abus sexuels commis par un grand-père au détriment d’une petite-fille mineure qui entendait, à l’occasion des débats, adresser à son grand-père un message, dans un état émotionnel qualifié de très perturbé par la présidente du tribunal ; que l’on conçoit ainsi aisément que la jeune victime n’était guère intéressée que cette expérience intime traumatisante, ravivée par l’étape décisive du processus judiciaire, connaisse une publicité médiatique, sentiment que devaient aussi partager, mutatis mutandis, le ministère public et le grand-père abuseur puisque l’ensemble de parties s’est opposé à la comparution du recourant ; que, sous l’angle de l’intérêt public au contrôle de l’activité judiciaire, il y a lieu de constater que le déroulement de l’audience de jugement était tributaire de l’application des règles sommaires prévue par la procédure simplifiée des art. 358 ss CPP, ce qui a eu notamment comme particularité que la séance n’a duré que quinze minutes et se trouvait à un stade très avancé - faute de plaidoiries - lorsque le chroniqueur judiciaire a manifesté sa présence et sa volonté d’assister aux débats ; que l’intérêt concret à l’information du public, déjà en porte-à-faux avec les raccourcis et les contingences techniques liés à la procédure simplifiée, se trouvait encore plus hypothétique en raison de l’arrivée du recourant en phase quasi terminale, quelles qu’aient pu être les raisons de son retard ; qu’en tout état de cause, l’objectif recherché par le chroniqueur était pratiquement irréalisable faute de volonté de coopération des parties, à ce moment tout au moins, avec comme corollaire l’éventualité que son arrivée inopinée à ce stade avancé puisse même dissuader la victime de s’exprimer ; qu’enfin, on ne voit pas quelle restriction moins incisive aurait pu être prononcée ; qu’au vu de ce qui précède, la simple fait que le recourant invoque le bénéfice de l’ATF 137 I 209 en déclarant son intention de se soumettre aux conditions énoncées par cette jurisprudence ne lui est d’aucun secours ; qu’au terme de cet examen, le recours doit donc être rejeté ; que, comme X__________ est débouté, les frais de la procédure de recours seront mis à sa charge (art. 428 al. 1 CPP) ; que l’émolument, qui doit respecter les principes de la couverture des frais et de l’équivalence des prestations, est fixé en fonction notamment de l’ampleur et de la difficulté de la cause (art. 13 al. 1 et 2 LTar) ; qu’il varie entre 90 fr. et 2000 fr. (art. 22 let. g LTar) ; qu’en l’occurrence, eu égard au peu de complexité de l’affaire, il est arrêté forfaitairement à 300 fr. (art. 424 al. 2 CPP et 11 LTar) ;</w:t>
      </w:r>
    </w:p>
    <w:p>
      <w:r>
        <w:t>- 4 - Prononce</w:t>
      </w:r>
    </w:p>
    <w:p>
      <w:r>
        <w:t>1. Le recours est rejeté. 2. Les frais, par 300 francs, sont mis à la charge de X__________. 3. La présente ordonnance est communiquée aux parties.</w:t>
      </w:r>
    </w:p>
    <w:p>
      <w:r>
        <w:t>Sion, le 28 juin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